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eastAsia" w:ascii="仿宋" w:hAnsi="仿宋" w:eastAsia="仿宋" w:cs="仿宋"/>
          <w:b/>
          <w:color w:val="4B4B4B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color w:val="4B4B4B"/>
          <w:sz w:val="32"/>
          <w:szCs w:val="32"/>
          <w:shd w:val="clear" w:fill="FFFFFF"/>
          <w:lang w:eastAsia="zh-CN"/>
        </w:rPr>
        <w:t>中北大学</w:t>
      </w:r>
      <w:r>
        <w:rPr>
          <w:rFonts w:hint="eastAsia" w:ascii="仿宋" w:hAnsi="仿宋" w:eastAsia="仿宋" w:cs="仿宋"/>
          <w:b/>
          <w:color w:val="4B4B4B"/>
          <w:sz w:val="32"/>
          <w:szCs w:val="32"/>
          <w:shd w:val="clear" w:fill="FFFFFF"/>
        </w:rPr>
        <w:t>多举措推进大型仪器设备共享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近年来，中北大学大型科学仪器规模持续增长，但其利用率和共享水平不高等问题逐渐凸显，为解决这一问题，该校遵循“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专管共用、有偿共享”的原则，先后出台了《中北大学大型贵重仪器管理办法(试行）》《中北大学大型贵重仪器共享实施细则（试行）》、《中北大学大型贵重仪器共享维修基金管理细则（试行）》等办法，极大的促进了大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仪器设备开放共享和使用效益。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val="en-US" w:eastAsia="zh-CN"/>
        </w:rPr>
        <w:t>2017年，该校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大型仪器共享服务收入首次超过百万元，达到102.88万元。在大型仪器设备管理方面，主要采取了以下措施：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加强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申购论证。大型仪器设备（单台或成套价值10万元及以上）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前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必须进行可行性论证。论证工作由经费负责单位组织，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国有资产管理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处及大型仪器设备管理咨询委员会的专家组成员参与并监督。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购置前，专家组要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大型仪器设备采购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的必要性、对应性和工作量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进行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分析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，对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仪器设备附件、零配件、软件配套经费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仪器设备专管人员配备情况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以及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安装场地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情况进行充分论证，同时对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仪器的共享使用情况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仪器效益预测和风险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进行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分析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 通过论证的大型仪器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才可以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按照国家和学校的采购规定和流程执行采购。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搭建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共享平台。大型仪器设备共享管理采取校、院（实验室、中心）、机组三级管理机制。学校成立“大型仪器共享管理中心”，挂靠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国有资产管理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处，作为学校内部独立经济核算单位，负责大型仪器设备共享的财务运行管理。学院（实验室、中心）负责本单位大型仪器设备共享工作的组织落实；学院（实验室、中心）内部成立若干大型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贵重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仪器设备机组，作为具体实施大型仪器设备共享工作的基本单位。全校所有用于教学、科研的大型仪器设备原则上全部加入大型仪器设备共享平台，单价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不足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10万元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仪器设备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，归属已纳入大型仪器设备机组管理的，经审核后，也可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加入平台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管理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制定收费政策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。提供开放共享服务的大型仪器设备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结合有关规定和市场调研，拟定合适的收费方式、价格和优惠条件，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经学院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审核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、国有资产管理处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论证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共享平台公示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校长办公会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审定。共享服务费的95%由大型仪器所属的机组支配，用于本机组仪器的运行维护、试剂耗材、计量校准、仪器操作培训学习、会议差旅、操作人员劳务酬金等与本机组仪器相关的实际支出。共享服务费的5%可以用于学院（实验室、中心）水电费、办公费、差旅费、交通费、培训费、接待费等支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四是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建立共享资金。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学校设立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大型仪器设备开放共享基金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，每年50万元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</w:rPr>
        <w:t>用于鼓励和资助大型仪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器设备开放共享。对跨学院（实验室、中心）非关联机组之间使用大型仪器时，学校向用户提供服务收费40％的补贴。对于弄虚作假套取大型仪器共享基金行为，情节轻微者责令整改并给予通报批评和教育，情节严重者学校将参照有关规定严肃处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五是用好考核机制。学校对大型仪器共享和管理的情况进行年度效益综合考核评价。考评结果分为优秀、合格和不合格，考核评价结果于网上每年向全校公布一次。考核优秀并取得突出成绩的单位、机组和个人，学校给予表彰和奖励，并在后续开放共享等方面给予政策倾斜；考核不合格者，学校将采取减少经费投入或进行设备调拨等措施。</w:t>
      </w:r>
    </w:p>
    <w:p>
      <w:pPr>
        <w:pStyle w:val="17"/>
        <w:rPr>
          <w:rFonts w:hint="eastAsia"/>
        </w:rPr>
      </w:pPr>
      <w:r>
        <w:t>窗体底端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6079"/>
    <w:rsid w:val="03650906"/>
    <w:rsid w:val="05CC6079"/>
    <w:rsid w:val="0727430C"/>
    <w:rsid w:val="24D504EF"/>
    <w:rsid w:val="34A56D32"/>
    <w:rsid w:val="5A241648"/>
    <w:rsid w:val="5A243ADE"/>
    <w:rsid w:val="5F2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uiPriority w:val="0"/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5">
    <w:name w:val="hover15"/>
    <w:basedOn w:val="4"/>
    <w:uiPriority w:val="0"/>
    <w:rPr>
      <w:color w:val="557EE7"/>
    </w:rPr>
  </w:style>
  <w:style w:type="paragraph" w:customStyle="1" w:styleId="16">
    <w:name w:val="_Style 1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2018-05-14T01:15:00Z</dcterms:created>
  <dc:creator>admin</dc:creator>
  <cp:lastModifiedBy>admin</cp:lastModifiedBy>
  <dcterms:modified xsi:type="dcterms:W3CDTF">2018-05-15T06:45:00Z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